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054236E9"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7D6CB8">
        <w:rPr>
          <w:rFonts w:cs="Arial"/>
          <w:noProof w:val="0"/>
          <w:sz w:val="24"/>
          <w:szCs w:val="24"/>
          <w:lang w:val="en-GB"/>
        </w:rPr>
        <w:t>4</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657B7">
        <w:rPr>
          <w:rFonts w:cs="Arial"/>
          <w:bCs/>
          <w:noProof w:val="0"/>
          <w:sz w:val="24"/>
          <w:lang w:val="en-GB" w:eastAsia="ja-JP"/>
        </w:rPr>
        <w:t>0</w:t>
      </w:r>
      <w:r w:rsidR="002622A2">
        <w:rPr>
          <w:rFonts w:cs="Arial"/>
          <w:bCs/>
          <w:noProof w:val="0"/>
          <w:sz w:val="24"/>
          <w:lang w:val="en-GB" w:eastAsia="ja-JP"/>
        </w:rPr>
        <w:t>8092</w:t>
      </w:r>
    </w:p>
    <w:p w14:paraId="7353AD93" w14:textId="0ED98323" w:rsidR="00B945C1" w:rsidRPr="0004564C" w:rsidRDefault="007D6CB8" w:rsidP="007B1761">
      <w:pPr>
        <w:pStyle w:val="Header"/>
        <w:tabs>
          <w:tab w:val="right" w:pos="9639"/>
        </w:tabs>
        <w:spacing w:after="120"/>
        <w:rPr>
          <w:rFonts w:eastAsia="PMingLiU" w:cs="Arial"/>
          <w:sz w:val="24"/>
          <w:lang w:eastAsia="zh-TW"/>
        </w:rPr>
      </w:pPr>
      <w:r>
        <w:rPr>
          <w:rFonts w:eastAsia="PMingLiU" w:cs="Arial"/>
          <w:sz w:val="24"/>
          <w:lang w:val="en-GB" w:eastAsia="zh-TW"/>
        </w:rPr>
        <w:t>Toulouse, France, 21</w:t>
      </w:r>
      <w:r w:rsidRPr="007D6CB8">
        <w:rPr>
          <w:rFonts w:eastAsia="PMingLiU" w:cs="Arial"/>
          <w:sz w:val="24"/>
          <w:vertAlign w:val="superscript"/>
          <w:lang w:val="en-GB" w:eastAsia="zh-TW"/>
        </w:rPr>
        <w:t>st</w:t>
      </w:r>
      <w:r>
        <w:rPr>
          <w:rFonts w:eastAsia="PMingLiU" w:cs="Arial"/>
          <w:sz w:val="24"/>
          <w:lang w:val="en-GB" w:eastAsia="zh-TW"/>
        </w:rPr>
        <w:t xml:space="preserve"> August </w:t>
      </w:r>
      <w:r w:rsidR="00574753">
        <w:rPr>
          <w:rFonts w:eastAsia="PMingLiU" w:cs="Arial"/>
          <w:sz w:val="24"/>
          <w:lang w:val="en-GB" w:eastAsia="zh-TW"/>
        </w:rPr>
        <w:t xml:space="preserve">– </w:t>
      </w:r>
      <w:r w:rsidR="005373E1">
        <w:rPr>
          <w:rFonts w:eastAsia="PMingLiU" w:cs="Arial"/>
          <w:sz w:val="24"/>
          <w:lang w:val="en-GB" w:eastAsia="zh-TW"/>
        </w:rPr>
        <w:t>2</w:t>
      </w:r>
      <w:r>
        <w:rPr>
          <w:rFonts w:eastAsia="PMingLiU" w:cs="Arial"/>
          <w:sz w:val="24"/>
          <w:lang w:val="en-GB" w:eastAsia="zh-TW"/>
        </w:rPr>
        <w:t>5</w:t>
      </w:r>
      <w:r w:rsidRPr="007D6CB8">
        <w:rPr>
          <w:rFonts w:eastAsia="PMingLiU" w:cs="Arial"/>
          <w:sz w:val="24"/>
          <w:vertAlign w:val="superscript"/>
          <w:lang w:val="en-GB" w:eastAsia="zh-TW"/>
        </w:rPr>
        <w:t>th</w:t>
      </w:r>
      <w:r>
        <w:rPr>
          <w:rFonts w:eastAsia="PMingLiU" w:cs="Arial"/>
          <w:sz w:val="24"/>
          <w:lang w:val="en-GB" w:eastAsia="zh-TW"/>
        </w:rPr>
        <w:t xml:space="preserve"> 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1504B146"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390BE5">
        <w:rPr>
          <w:rFonts w:cs="Arial"/>
          <w:b/>
          <w:bCs/>
          <w:sz w:val="24"/>
        </w:rPr>
        <w:t>3</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03DBDB88"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390BE5">
        <w:rPr>
          <w:rFonts w:ascii="Arial" w:hAnsi="Arial" w:cs="Arial"/>
          <w:b/>
          <w:bCs/>
          <w:szCs w:val="24"/>
        </w:rPr>
        <w:t xml:space="preserve">LPHAP </w:t>
      </w:r>
      <w:r w:rsidR="00E75B78">
        <w:rPr>
          <w:rFonts w:ascii="Arial" w:hAnsi="Arial" w:cs="Arial"/>
          <w:b/>
          <w:bCs/>
          <w:szCs w:val="24"/>
        </w:rPr>
        <w:t>design</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30D8E20" w14:textId="7D1B7F63" w:rsidR="00A46019" w:rsidRDefault="00CC3DA9" w:rsidP="00CC3DA9">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express our view for the following</w:t>
      </w:r>
      <w:r w:rsidR="00F81B0A">
        <w:rPr>
          <w:sz w:val="22"/>
          <w:lang w:val="en-GB"/>
        </w:rPr>
        <w:t xml:space="preserve"> </w:t>
      </w:r>
      <w:r>
        <w:rPr>
          <w:sz w:val="22"/>
          <w:lang w:val="en-GB"/>
        </w:rPr>
        <w:t>issues</w:t>
      </w:r>
      <w:r w:rsidR="00F81B0A">
        <w:rPr>
          <w:sz w:val="22"/>
          <w:lang w:val="en-GB"/>
        </w:rPr>
        <w:t xml:space="preserve"> of interest</w:t>
      </w:r>
      <w:r>
        <w:rPr>
          <w:sz w:val="22"/>
          <w:lang w:val="en-GB"/>
        </w:rPr>
        <w:t>,</w:t>
      </w:r>
    </w:p>
    <w:p w14:paraId="60876162" w14:textId="52B2884F" w:rsidR="00806E11" w:rsidRDefault="00806E11" w:rsidP="00CC3DA9">
      <w:pPr>
        <w:pStyle w:val="ListParagraph"/>
        <w:numPr>
          <w:ilvl w:val="0"/>
          <w:numId w:val="45"/>
        </w:numPr>
        <w:ind w:left="270" w:hanging="270"/>
        <w:jc w:val="both"/>
        <w:rPr>
          <w:sz w:val="22"/>
          <w:lang w:val="en-GB"/>
        </w:rPr>
      </w:pPr>
      <w:r>
        <w:rPr>
          <w:sz w:val="22"/>
          <w:lang w:val="en-GB"/>
        </w:rPr>
        <w:t xml:space="preserve">The </w:t>
      </w:r>
      <w:r w:rsidR="00CA140D">
        <w:rPr>
          <w:sz w:val="22"/>
          <w:lang w:val="en-GB"/>
        </w:rPr>
        <w:t>reference RS for RSRP change for TA validation</w:t>
      </w:r>
    </w:p>
    <w:p w14:paraId="1A4AA01B" w14:textId="504D41CA" w:rsidR="009904FB" w:rsidRDefault="00CA140D" w:rsidP="00940F7F">
      <w:pPr>
        <w:pStyle w:val="ListParagraph"/>
        <w:numPr>
          <w:ilvl w:val="0"/>
          <w:numId w:val="45"/>
        </w:numPr>
        <w:ind w:left="270" w:hanging="270"/>
        <w:jc w:val="both"/>
        <w:rPr>
          <w:sz w:val="22"/>
          <w:lang w:val="en-GB"/>
        </w:rPr>
      </w:pPr>
      <w:r>
        <w:rPr>
          <w:sz w:val="22"/>
          <w:lang w:val="en-GB"/>
        </w:rPr>
        <w:t>UE RX-TX measurement in RRC idle state</w:t>
      </w:r>
    </w:p>
    <w:p w14:paraId="3EE1C8BC" w14:textId="22F2E5B0" w:rsidR="00940F7F" w:rsidRDefault="00940F7F" w:rsidP="00940F7F">
      <w:pPr>
        <w:pStyle w:val="ListParagraph"/>
        <w:numPr>
          <w:ilvl w:val="0"/>
          <w:numId w:val="45"/>
        </w:numPr>
        <w:ind w:left="270" w:hanging="270"/>
        <w:jc w:val="both"/>
        <w:rPr>
          <w:sz w:val="22"/>
          <w:lang w:val="en-GB"/>
        </w:rPr>
      </w:pPr>
      <w:r>
        <w:rPr>
          <w:sz w:val="22"/>
          <w:lang w:val="en-GB"/>
        </w:rPr>
        <w:t>Non-CD SSB as pathloss RS</w:t>
      </w:r>
    </w:p>
    <w:p w14:paraId="5B6259FE" w14:textId="0F220EE3" w:rsidR="00F81B0A" w:rsidRPr="00940F7F" w:rsidRDefault="00F81B0A" w:rsidP="00940F7F">
      <w:pPr>
        <w:pStyle w:val="ListParagraph"/>
        <w:numPr>
          <w:ilvl w:val="0"/>
          <w:numId w:val="45"/>
        </w:numPr>
        <w:ind w:left="270" w:hanging="270"/>
        <w:jc w:val="both"/>
        <w:rPr>
          <w:sz w:val="22"/>
          <w:lang w:val="en-GB"/>
        </w:rPr>
      </w:pPr>
      <w:r>
        <w:rPr>
          <w:sz w:val="22"/>
          <w:lang w:val="en-GB"/>
        </w:rPr>
        <w:t>Common alpha/p0 among cells</w:t>
      </w:r>
    </w:p>
    <w:p w14:paraId="3BECE6ED" w14:textId="77777777" w:rsidR="009904FB" w:rsidRPr="00A46019" w:rsidRDefault="009904FB" w:rsidP="00CC3DA9">
      <w:pPr>
        <w:jc w:val="both"/>
        <w:rPr>
          <w:sz w:val="22"/>
        </w:rPr>
      </w:pPr>
    </w:p>
    <w:p w14:paraId="64EE457D" w14:textId="686B6F58" w:rsidR="009904FB" w:rsidRDefault="003E191F" w:rsidP="00FB63D3">
      <w:pPr>
        <w:pStyle w:val="Heading1"/>
        <w:numPr>
          <w:ilvl w:val="0"/>
          <w:numId w:val="1"/>
        </w:numPr>
        <w:spacing w:before="0" w:after="120"/>
        <w:ind w:left="284" w:hanging="284"/>
        <w:jc w:val="both"/>
        <w:rPr>
          <w:rFonts w:eastAsia="PMingLiU"/>
          <w:sz w:val="32"/>
          <w:szCs w:val="32"/>
          <w:lang w:val="en-US" w:eastAsia="zh-TW"/>
        </w:rPr>
      </w:pPr>
      <w:r>
        <w:rPr>
          <w:rFonts w:eastAsia="PMingLiU"/>
          <w:sz w:val="32"/>
          <w:szCs w:val="32"/>
          <w:lang w:val="en-US" w:eastAsia="zh-TW"/>
        </w:rPr>
        <w:t xml:space="preserve">The </w:t>
      </w:r>
      <w:r w:rsidR="00352A0F">
        <w:rPr>
          <w:rFonts w:eastAsia="PMingLiU"/>
          <w:sz w:val="32"/>
          <w:szCs w:val="32"/>
          <w:lang w:val="en-US" w:eastAsia="zh-TW"/>
        </w:rPr>
        <w:t>reference RS for RSRP change for TA validation</w:t>
      </w:r>
    </w:p>
    <w:tbl>
      <w:tblPr>
        <w:tblStyle w:val="TableGrid"/>
        <w:tblW w:w="0" w:type="auto"/>
        <w:tblLook w:val="04A0" w:firstRow="1" w:lastRow="0" w:firstColumn="1" w:lastColumn="0" w:noHBand="0" w:noVBand="1"/>
      </w:tblPr>
      <w:tblGrid>
        <w:gridCol w:w="9629"/>
      </w:tblGrid>
      <w:tr w:rsidR="00352A0F" w14:paraId="0E36A225" w14:textId="77777777" w:rsidTr="00352A0F">
        <w:tc>
          <w:tcPr>
            <w:tcW w:w="9629" w:type="dxa"/>
          </w:tcPr>
          <w:p w14:paraId="60F717DE" w14:textId="77777777" w:rsidR="00352A0F" w:rsidRPr="00352A0F" w:rsidRDefault="00352A0F" w:rsidP="00352A0F">
            <w:pPr>
              <w:widowControl/>
              <w:rPr>
                <w:rFonts w:ascii="Times" w:eastAsia="Batang" w:hAnsi="Times" w:cs="Times New Roman"/>
                <w:kern w:val="0"/>
                <w:sz w:val="20"/>
                <w:szCs w:val="24"/>
                <w:lang w:eastAsia="x-none"/>
              </w:rPr>
            </w:pPr>
          </w:p>
          <w:p w14:paraId="025B82DC" w14:textId="77777777" w:rsidR="00352A0F" w:rsidRPr="00352A0F" w:rsidRDefault="00352A0F" w:rsidP="00352A0F">
            <w:pPr>
              <w:widowControl/>
              <w:rPr>
                <w:rFonts w:ascii="Times" w:eastAsia="Batang" w:hAnsi="Times" w:cs="Times New Roman"/>
                <w:b/>
                <w:kern w:val="0"/>
                <w:sz w:val="16"/>
                <w:szCs w:val="16"/>
                <w:lang w:val="en-GB" w:eastAsia="x-none"/>
              </w:rPr>
            </w:pPr>
            <w:r w:rsidRPr="00352A0F">
              <w:rPr>
                <w:rFonts w:ascii="Times" w:eastAsia="Batang" w:hAnsi="Times" w:cs="Times New Roman"/>
                <w:b/>
                <w:kern w:val="0"/>
                <w:sz w:val="16"/>
                <w:szCs w:val="16"/>
                <w:highlight w:val="green"/>
                <w:lang w:val="en-GB" w:eastAsia="x-none"/>
              </w:rPr>
              <w:t>Agreement</w:t>
            </w:r>
          </w:p>
          <w:p w14:paraId="0BB7D1EB" w14:textId="77777777" w:rsidR="00352A0F" w:rsidRPr="00352A0F" w:rsidRDefault="00352A0F" w:rsidP="00352A0F">
            <w:pPr>
              <w:widowControl/>
              <w:rPr>
                <w:rFonts w:ascii="Times" w:eastAsia="Batang" w:hAnsi="Times" w:cs="Times New Roman"/>
                <w:kern w:val="0"/>
                <w:sz w:val="16"/>
                <w:szCs w:val="16"/>
                <w:lang w:eastAsia="zh-CN"/>
              </w:rPr>
            </w:pPr>
            <w:r w:rsidRPr="00352A0F">
              <w:rPr>
                <w:rFonts w:ascii="Times" w:eastAsia="Batang" w:hAnsi="Times" w:cs="Times New Roman"/>
                <w:kern w:val="0"/>
                <w:sz w:val="16"/>
                <w:szCs w:val="16"/>
                <w:lang w:eastAsia="zh-CN"/>
              </w:rPr>
              <w:t>For the determination of UL timing to transmit SRS for positioning by UEs in RRC_INACTIVE state within the SRS positioning validity area, support the following to determine a valid TA:</w:t>
            </w:r>
          </w:p>
          <w:p w14:paraId="25FCED5B" w14:textId="77777777" w:rsidR="00352A0F" w:rsidRPr="00352A0F" w:rsidRDefault="00352A0F" w:rsidP="00352A0F">
            <w:pPr>
              <w:widowControl/>
              <w:numPr>
                <w:ilvl w:val="0"/>
                <w:numId w:val="50"/>
              </w:numPr>
              <w:snapToGrid w:val="0"/>
              <w:ind w:left="720"/>
              <w:rPr>
                <w:rFonts w:ascii="Times" w:eastAsia="Batang" w:hAnsi="Times" w:cs="Times New Roman"/>
                <w:kern w:val="0"/>
                <w:sz w:val="16"/>
                <w:szCs w:val="16"/>
                <w:lang w:val="en-GB" w:eastAsia="zh-CN"/>
              </w:rPr>
            </w:pPr>
            <w:r w:rsidRPr="00352A0F">
              <w:rPr>
                <w:rFonts w:ascii="Times" w:eastAsia="Batang" w:hAnsi="Times" w:cs="Times New Roman" w:hint="eastAsia"/>
                <w:kern w:val="0"/>
                <w:sz w:val="16"/>
                <w:szCs w:val="16"/>
                <w:lang w:val="en-GB" w:eastAsia="zh-CN"/>
              </w:rPr>
              <w:t>T</w:t>
            </w:r>
            <w:r w:rsidRPr="00352A0F">
              <w:rPr>
                <w:rFonts w:ascii="Times" w:eastAsia="Batang" w:hAnsi="Times" w:cs="Times New Roman"/>
                <w:kern w:val="0"/>
                <w:sz w:val="16"/>
                <w:szCs w:val="16"/>
                <w:lang w:val="en-GB" w:eastAsia="zh-CN"/>
              </w:rPr>
              <w:t>he DL reference timing follows the DL timing of current camping cell.</w:t>
            </w:r>
          </w:p>
          <w:p w14:paraId="732A8361" w14:textId="77777777" w:rsidR="00352A0F" w:rsidRPr="00352A0F" w:rsidRDefault="00352A0F" w:rsidP="00352A0F">
            <w:pPr>
              <w:widowControl/>
              <w:numPr>
                <w:ilvl w:val="0"/>
                <w:numId w:val="50"/>
              </w:numPr>
              <w:snapToGrid w:val="0"/>
              <w:ind w:left="720"/>
              <w:rPr>
                <w:rFonts w:ascii="Times" w:eastAsia="Batang" w:hAnsi="Times" w:cs="Times New Roman"/>
                <w:kern w:val="0"/>
                <w:sz w:val="16"/>
                <w:szCs w:val="16"/>
                <w:lang w:val="en-GB" w:eastAsia="zh-CN"/>
              </w:rPr>
            </w:pPr>
            <w:r w:rsidRPr="00352A0F">
              <w:rPr>
                <w:rFonts w:ascii="Times" w:eastAsia="Batang" w:hAnsi="Times" w:cs="Times New Roman" w:hint="eastAsia"/>
                <w:kern w:val="0"/>
                <w:sz w:val="16"/>
                <w:szCs w:val="16"/>
                <w:lang w:val="en-GB" w:eastAsia="zh-CN"/>
              </w:rPr>
              <w:t>B</w:t>
            </w:r>
            <w:r w:rsidRPr="00352A0F">
              <w:rPr>
                <w:rFonts w:ascii="Times" w:eastAsia="Batang" w:hAnsi="Times" w:cs="Times New Roman"/>
                <w:kern w:val="0"/>
                <w:sz w:val="16"/>
                <w:szCs w:val="16"/>
                <w:lang w:val="en-GB" w:eastAsia="zh-CN"/>
              </w:rPr>
              <w:t>y default, UE maintains the TA from the last serving cell.</w:t>
            </w:r>
          </w:p>
          <w:p w14:paraId="40FF0E32" w14:textId="77777777" w:rsidR="00352A0F" w:rsidRPr="00352A0F" w:rsidRDefault="00352A0F" w:rsidP="00352A0F">
            <w:pPr>
              <w:widowControl/>
              <w:numPr>
                <w:ilvl w:val="1"/>
                <w:numId w:val="50"/>
              </w:numPr>
              <w:snapToGrid w:val="0"/>
              <w:rPr>
                <w:rFonts w:ascii="Times" w:eastAsia="Batang" w:hAnsi="Times" w:cs="Times New Roman"/>
                <w:kern w:val="0"/>
                <w:sz w:val="16"/>
                <w:szCs w:val="16"/>
                <w:lang w:val="en-GB" w:eastAsia="zh-CN"/>
              </w:rPr>
            </w:pPr>
            <w:r w:rsidRPr="00352A0F">
              <w:rPr>
                <w:rFonts w:ascii="Times" w:eastAsia="Batang" w:hAnsi="Times" w:cs="Times New Roman"/>
                <w:kern w:val="0"/>
                <w:sz w:val="16"/>
                <w:szCs w:val="16"/>
                <w:lang w:val="en-GB" w:eastAsia="zh-CN"/>
              </w:rPr>
              <w:t>UE can adjust its UL timing according to the change in DL reference timing.</w:t>
            </w:r>
          </w:p>
          <w:p w14:paraId="13D07041" w14:textId="77777777" w:rsidR="00352A0F" w:rsidRPr="00352A0F" w:rsidRDefault="00352A0F" w:rsidP="00352A0F">
            <w:pPr>
              <w:widowControl/>
              <w:numPr>
                <w:ilvl w:val="0"/>
                <w:numId w:val="50"/>
              </w:numPr>
              <w:snapToGrid w:val="0"/>
              <w:ind w:left="720"/>
              <w:rPr>
                <w:rFonts w:ascii="Times" w:eastAsia="Batang" w:hAnsi="Times" w:cs="Times New Roman"/>
                <w:kern w:val="0"/>
                <w:sz w:val="16"/>
                <w:szCs w:val="16"/>
                <w:lang w:val="en-GB" w:eastAsia="zh-CN"/>
              </w:rPr>
            </w:pPr>
            <w:r w:rsidRPr="00352A0F">
              <w:rPr>
                <w:rFonts w:ascii="Times" w:eastAsia="Batang" w:hAnsi="Times" w:cs="Times New Roman"/>
                <w:kern w:val="0"/>
                <w:sz w:val="16"/>
                <w:szCs w:val="16"/>
                <w:lang w:val="en-GB" w:eastAsia="zh-CN"/>
              </w:rPr>
              <w:t>If configured by the network, subject to UE capability, UE autonomously adjusts the TA, when cell-reselection happens.</w:t>
            </w:r>
          </w:p>
          <w:p w14:paraId="3E6F2A28" w14:textId="77777777" w:rsidR="00352A0F" w:rsidRPr="00352A0F" w:rsidRDefault="00352A0F" w:rsidP="00352A0F">
            <w:pPr>
              <w:widowControl/>
              <w:numPr>
                <w:ilvl w:val="1"/>
                <w:numId w:val="50"/>
              </w:numPr>
              <w:snapToGrid w:val="0"/>
              <w:rPr>
                <w:rFonts w:ascii="Times" w:eastAsia="Batang" w:hAnsi="Times" w:cs="Times New Roman"/>
                <w:kern w:val="0"/>
                <w:sz w:val="16"/>
                <w:szCs w:val="16"/>
                <w:lang w:val="en-GB" w:eastAsia="zh-CN"/>
              </w:rPr>
            </w:pPr>
            <w:r w:rsidRPr="00352A0F">
              <w:rPr>
                <w:rFonts w:ascii="Times" w:eastAsia="Batang" w:hAnsi="Times" w:cs="Times New Roman"/>
                <w:kern w:val="0"/>
                <w:sz w:val="16"/>
                <w:szCs w:val="16"/>
                <w:lang w:val="en-GB"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58249360" w14:textId="77777777" w:rsidR="00352A0F" w:rsidRPr="00352A0F" w:rsidRDefault="00352A0F" w:rsidP="00352A0F">
            <w:pPr>
              <w:contextualSpacing/>
              <w:jc w:val="both"/>
              <w:rPr>
                <w:rFonts w:cstheme="minorHAnsi"/>
                <w:sz w:val="22"/>
                <w:lang w:val="en-GB"/>
              </w:rPr>
            </w:pPr>
          </w:p>
        </w:tc>
      </w:tr>
    </w:tbl>
    <w:p w14:paraId="505868EF" w14:textId="77777777" w:rsidR="00352A0F" w:rsidRDefault="00352A0F" w:rsidP="00352A0F">
      <w:pPr>
        <w:contextualSpacing/>
        <w:jc w:val="both"/>
        <w:rPr>
          <w:rFonts w:cstheme="minorHAnsi"/>
          <w:sz w:val="22"/>
        </w:rPr>
      </w:pPr>
    </w:p>
    <w:p w14:paraId="26B4DBC5" w14:textId="7138FCB4" w:rsidR="00352A0F" w:rsidRDefault="004C0041" w:rsidP="00352A0F">
      <w:pPr>
        <w:contextualSpacing/>
        <w:jc w:val="both"/>
        <w:rPr>
          <w:rFonts w:cstheme="minorHAnsi"/>
          <w:sz w:val="22"/>
        </w:rPr>
      </w:pPr>
      <w:r>
        <w:rPr>
          <w:rFonts w:cstheme="minorHAnsi"/>
          <w:sz w:val="22"/>
        </w:rPr>
        <w:t>In previous meeting, it was agreed to support UE autonomous TA adjustment as UE capability for cell-reselection condition.</w:t>
      </w:r>
    </w:p>
    <w:p w14:paraId="3243872B" w14:textId="63A5472C" w:rsidR="004C0041" w:rsidRDefault="004C0041" w:rsidP="00352A0F">
      <w:pPr>
        <w:contextualSpacing/>
        <w:jc w:val="both"/>
        <w:rPr>
          <w:rFonts w:cstheme="minorHAnsi"/>
          <w:sz w:val="22"/>
        </w:rPr>
      </w:pPr>
    </w:p>
    <w:p w14:paraId="56A858EC" w14:textId="1076FB73" w:rsidR="004C0041" w:rsidRDefault="004C0041" w:rsidP="00352A0F">
      <w:pPr>
        <w:contextualSpacing/>
        <w:jc w:val="both"/>
        <w:rPr>
          <w:rFonts w:cstheme="minorHAnsi"/>
          <w:sz w:val="22"/>
        </w:rPr>
      </w:pPr>
      <w:r>
        <w:rPr>
          <w:rFonts w:cstheme="minorHAnsi"/>
          <w:sz w:val="22"/>
        </w:rPr>
        <w:t>The legacy solution is to have a TA validation mechanism by assessing the RSRP change of</w:t>
      </w:r>
      <w:r w:rsidR="00016AEE">
        <w:rPr>
          <w:rFonts w:cstheme="minorHAnsi"/>
          <w:sz w:val="22"/>
        </w:rPr>
        <w:t xml:space="preserve"> a pathloss RS. If the RSRP change is over the threshold, the current TA may be treated as invalid and therefore the RACH procedure may be initiated to obtain the new TA.</w:t>
      </w:r>
      <w:r w:rsidR="00CA1ADB">
        <w:rPr>
          <w:rFonts w:cstheme="minorHAnsi"/>
          <w:sz w:val="22"/>
        </w:rPr>
        <w:t xml:space="preserve"> If the UE doesn't support autonomous TA adjustment, the legacy solution could be reused for NW to determine the TA.</w:t>
      </w:r>
    </w:p>
    <w:p w14:paraId="0DFCEEFD" w14:textId="7062B5DC" w:rsidR="00352A0F" w:rsidRDefault="00352A0F" w:rsidP="00352A0F">
      <w:pPr>
        <w:contextualSpacing/>
        <w:jc w:val="both"/>
        <w:rPr>
          <w:rFonts w:cstheme="minorHAnsi"/>
          <w:sz w:val="22"/>
        </w:rPr>
      </w:pPr>
    </w:p>
    <w:p w14:paraId="04B44C2F" w14:textId="77777777" w:rsidR="00B52C29" w:rsidRDefault="009E3651" w:rsidP="00352A0F">
      <w:pPr>
        <w:contextualSpacing/>
        <w:jc w:val="both"/>
        <w:rPr>
          <w:rFonts w:cstheme="minorHAnsi"/>
          <w:sz w:val="22"/>
        </w:rPr>
      </w:pPr>
      <w:r>
        <w:rPr>
          <w:rFonts w:cstheme="minorHAnsi"/>
          <w:sz w:val="22"/>
        </w:rPr>
        <w:t xml:space="preserve">In our view, the autonomous TA adjustment </w:t>
      </w:r>
      <w:r w:rsidR="00B52C29">
        <w:rPr>
          <w:rFonts w:cstheme="minorHAnsi"/>
          <w:sz w:val="22"/>
        </w:rPr>
        <w:t xml:space="preserve">is applicable </w:t>
      </w:r>
      <w:r>
        <w:rPr>
          <w:rFonts w:cstheme="minorHAnsi"/>
          <w:sz w:val="22"/>
        </w:rPr>
        <w:t>for both the cell reselection and the intra cell mobility cases. It has less sense that the autonomous TA adjustment could only be applied to the cell reselection</w:t>
      </w:r>
      <w:r w:rsidR="00783681">
        <w:rPr>
          <w:rFonts w:cstheme="minorHAnsi"/>
          <w:sz w:val="22"/>
        </w:rPr>
        <w:t xml:space="preserve"> condition</w:t>
      </w:r>
      <w:r w:rsidR="00B52C29">
        <w:rPr>
          <w:rFonts w:cstheme="minorHAnsi"/>
          <w:sz w:val="22"/>
        </w:rPr>
        <w:t xml:space="preserve"> as the current agreement. </w:t>
      </w:r>
    </w:p>
    <w:p w14:paraId="15E79BAE" w14:textId="13DB4A12" w:rsidR="00CA1ADB" w:rsidRDefault="009E3651" w:rsidP="00352A0F">
      <w:pPr>
        <w:contextualSpacing/>
        <w:jc w:val="both"/>
        <w:rPr>
          <w:rFonts w:cstheme="minorHAnsi"/>
          <w:sz w:val="22"/>
        </w:rPr>
      </w:pPr>
      <w:r>
        <w:rPr>
          <w:rFonts w:cstheme="minorHAnsi"/>
          <w:sz w:val="22"/>
        </w:rPr>
        <w:t xml:space="preserve"> </w:t>
      </w:r>
    </w:p>
    <w:p w14:paraId="2A7699D8" w14:textId="77777777" w:rsidR="008F44E7" w:rsidRDefault="00074625" w:rsidP="00352A0F">
      <w:pPr>
        <w:contextualSpacing/>
        <w:jc w:val="both"/>
        <w:rPr>
          <w:rFonts w:cstheme="minorHAnsi"/>
          <w:sz w:val="22"/>
        </w:rPr>
      </w:pPr>
      <w:r>
        <w:rPr>
          <w:rFonts w:cstheme="minorHAnsi"/>
          <w:sz w:val="22"/>
        </w:rPr>
        <w:t xml:space="preserve">The RSRP change between the stored RSRP value and the current RSRP value may be based on the same reference signal. </w:t>
      </w:r>
      <w:r w:rsidR="00887580">
        <w:rPr>
          <w:rFonts w:cstheme="minorHAnsi"/>
          <w:sz w:val="22"/>
        </w:rPr>
        <w:t>As the UE moves away from the last serving cell, the UE may calculate the pathloss based on SSB of the new camping cell that the UE uses to obtain MIB.</w:t>
      </w:r>
      <w:r w:rsidR="00B93698">
        <w:rPr>
          <w:rFonts w:cstheme="minorHAnsi"/>
          <w:sz w:val="22"/>
        </w:rPr>
        <w:t xml:space="preserve"> </w:t>
      </w:r>
    </w:p>
    <w:p w14:paraId="395FD59F" w14:textId="77777777" w:rsidR="008F44E7" w:rsidRDefault="008F44E7" w:rsidP="00352A0F">
      <w:pPr>
        <w:contextualSpacing/>
        <w:jc w:val="both"/>
        <w:rPr>
          <w:rFonts w:cstheme="minorHAnsi"/>
          <w:sz w:val="22"/>
        </w:rPr>
      </w:pPr>
    </w:p>
    <w:p w14:paraId="5F1AE0AB" w14:textId="66027297" w:rsidR="009E3651" w:rsidRDefault="008F44E7" w:rsidP="00352A0F">
      <w:pPr>
        <w:contextualSpacing/>
        <w:jc w:val="both"/>
        <w:rPr>
          <w:rFonts w:cstheme="minorHAnsi"/>
          <w:sz w:val="22"/>
        </w:rPr>
      </w:pPr>
      <w:bookmarkStart w:id="10" w:name="_Hlk142319316"/>
      <w:r>
        <w:rPr>
          <w:rFonts w:cstheme="minorHAnsi"/>
          <w:sz w:val="22"/>
        </w:rPr>
        <w:t>T</w:t>
      </w:r>
      <w:r w:rsidR="00B93698">
        <w:rPr>
          <w:rFonts w:cstheme="minorHAnsi"/>
          <w:sz w:val="22"/>
        </w:rPr>
        <w:t xml:space="preserve">he RSRP change </w:t>
      </w:r>
      <w:r>
        <w:rPr>
          <w:rFonts w:cstheme="minorHAnsi"/>
          <w:sz w:val="22"/>
        </w:rPr>
        <w:t xml:space="preserve">for TA validation could measure the SSB of the new camping cell </w:t>
      </w:r>
      <w:r w:rsidR="00B93698">
        <w:rPr>
          <w:rFonts w:cstheme="minorHAnsi"/>
          <w:sz w:val="22"/>
        </w:rPr>
        <w:t xml:space="preserve">for </w:t>
      </w:r>
      <w:r>
        <w:rPr>
          <w:rFonts w:cstheme="minorHAnsi"/>
          <w:sz w:val="22"/>
        </w:rPr>
        <w:t xml:space="preserve">the </w:t>
      </w:r>
      <w:r w:rsidR="00B93698">
        <w:rPr>
          <w:rFonts w:cstheme="minorHAnsi"/>
          <w:sz w:val="22"/>
        </w:rPr>
        <w:t>intra cell mobility condition</w:t>
      </w:r>
      <w:bookmarkEnd w:id="10"/>
      <w:r>
        <w:rPr>
          <w:rFonts w:cstheme="minorHAnsi"/>
          <w:sz w:val="22"/>
        </w:rPr>
        <w:t>.</w:t>
      </w:r>
      <w:r w:rsidR="00285554">
        <w:rPr>
          <w:rFonts w:cstheme="minorHAnsi"/>
          <w:sz w:val="22"/>
        </w:rPr>
        <w:t xml:space="preserve"> During the cell reselection, the UE could send RACH to obtain new TA if the UE doesn't support autonomous TA adjustment.</w:t>
      </w:r>
    </w:p>
    <w:p w14:paraId="113EB7B6" w14:textId="77777777" w:rsidR="00CA1ADB" w:rsidRDefault="00CA1ADB" w:rsidP="00352A0F">
      <w:pPr>
        <w:contextualSpacing/>
        <w:jc w:val="both"/>
        <w:rPr>
          <w:rFonts w:cstheme="minorHAnsi"/>
          <w:sz w:val="22"/>
        </w:rPr>
      </w:pPr>
    </w:p>
    <w:p w14:paraId="3A725804" w14:textId="1B61B2E0" w:rsidR="003164AC" w:rsidRPr="00940F7F" w:rsidRDefault="00783681" w:rsidP="00352A0F">
      <w:pPr>
        <w:contextualSpacing/>
        <w:jc w:val="both"/>
        <w:rPr>
          <w:rFonts w:cstheme="minorHAnsi"/>
          <w:sz w:val="20"/>
          <w:szCs w:val="20"/>
        </w:rPr>
      </w:pPr>
      <w:bookmarkStart w:id="11" w:name="_Hlk142666237"/>
      <w:r w:rsidRPr="00940F7F">
        <w:rPr>
          <w:rFonts w:cstheme="minorHAnsi"/>
          <w:b/>
          <w:bCs/>
          <w:sz w:val="20"/>
          <w:szCs w:val="20"/>
        </w:rPr>
        <w:t>Proposal 2-1</w:t>
      </w:r>
      <w:r w:rsidRPr="00940F7F">
        <w:rPr>
          <w:rFonts w:cstheme="minorHAnsi"/>
          <w:sz w:val="20"/>
          <w:szCs w:val="20"/>
        </w:rPr>
        <w:t>: Support autonomous TA adjustment in intra cell mobility, in addition to the cell reselection</w:t>
      </w:r>
      <w:r w:rsidR="0077210E" w:rsidRPr="00940F7F">
        <w:rPr>
          <w:rFonts w:cstheme="minorHAnsi"/>
          <w:sz w:val="20"/>
          <w:szCs w:val="20"/>
        </w:rPr>
        <w:t xml:space="preserve"> </w:t>
      </w:r>
    </w:p>
    <w:p w14:paraId="09F85E07" w14:textId="3793E283" w:rsidR="00352A0F" w:rsidRPr="00940F7F" w:rsidRDefault="00352A0F" w:rsidP="00352A0F">
      <w:pPr>
        <w:contextualSpacing/>
        <w:jc w:val="both"/>
        <w:rPr>
          <w:rFonts w:cstheme="minorHAnsi"/>
          <w:sz w:val="20"/>
          <w:szCs w:val="20"/>
        </w:rPr>
      </w:pPr>
    </w:p>
    <w:p w14:paraId="3F659894" w14:textId="547769EA" w:rsidR="00285554" w:rsidRPr="00940F7F" w:rsidRDefault="00285554" w:rsidP="00352A0F">
      <w:pPr>
        <w:contextualSpacing/>
        <w:jc w:val="both"/>
        <w:rPr>
          <w:rFonts w:cstheme="minorHAnsi"/>
          <w:sz w:val="20"/>
          <w:szCs w:val="20"/>
        </w:rPr>
      </w:pPr>
      <w:r w:rsidRPr="00940F7F">
        <w:rPr>
          <w:rFonts w:cstheme="minorHAnsi"/>
          <w:b/>
          <w:bCs/>
          <w:sz w:val="20"/>
          <w:szCs w:val="20"/>
        </w:rPr>
        <w:t>Proposal 2-2</w:t>
      </w:r>
      <w:r w:rsidRPr="00940F7F">
        <w:rPr>
          <w:rFonts w:cstheme="minorHAnsi"/>
          <w:sz w:val="20"/>
          <w:szCs w:val="20"/>
        </w:rPr>
        <w:t>: The RSRP change for TA validation could measure the SSB of the new camping cell for the intra cell mobility condition</w:t>
      </w:r>
    </w:p>
    <w:p w14:paraId="7ABC8A50" w14:textId="02609DE7" w:rsidR="009904FB" w:rsidRDefault="009904FB" w:rsidP="00C57BBB">
      <w:pPr>
        <w:jc w:val="both"/>
        <w:rPr>
          <w:sz w:val="22"/>
        </w:rPr>
      </w:pPr>
    </w:p>
    <w:bookmarkEnd w:id="11"/>
    <w:p w14:paraId="1860DECC" w14:textId="74532B11" w:rsidR="00B33F08" w:rsidRDefault="00511743" w:rsidP="00B33F08">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UE RX-TX time difference measurement in idle state</w:t>
      </w:r>
    </w:p>
    <w:p w14:paraId="0F332C04" w14:textId="77777777" w:rsidR="006F4A23" w:rsidRDefault="00B06C08" w:rsidP="00D40E6C">
      <w:pPr>
        <w:jc w:val="both"/>
        <w:rPr>
          <w:sz w:val="22"/>
        </w:rPr>
      </w:pPr>
      <w:r>
        <w:rPr>
          <w:sz w:val="22"/>
        </w:rPr>
        <w:t>The</w:t>
      </w:r>
      <w:r w:rsidR="00DD2C63">
        <w:rPr>
          <w:sz w:val="22"/>
        </w:rPr>
        <w:t xml:space="preserve"> legacy UE RX-TX time difference measurement doesn’t use the actual TX timing within the measurement. The SRS still needs to be transmitted and it is always expected to keep the</w:t>
      </w:r>
      <w:r w:rsidR="006F4A23">
        <w:rPr>
          <w:sz w:val="22"/>
        </w:rPr>
        <w:t xml:space="preserve"> </w:t>
      </w:r>
      <w:r w:rsidR="00DD2C63">
        <w:rPr>
          <w:sz w:val="22"/>
        </w:rPr>
        <w:t>difference between the downlink measurement</w:t>
      </w:r>
      <w:r w:rsidR="006F4A23">
        <w:rPr>
          <w:sz w:val="22"/>
        </w:rPr>
        <w:t xml:space="preserve"> time instance</w:t>
      </w:r>
      <w:r w:rsidR="00DD2C63">
        <w:rPr>
          <w:sz w:val="22"/>
        </w:rPr>
        <w:t xml:space="preserve"> and SRS transmission </w:t>
      </w:r>
      <w:r w:rsidR="006F4A23">
        <w:rPr>
          <w:sz w:val="22"/>
        </w:rPr>
        <w:t xml:space="preserve">time instance </w:t>
      </w:r>
      <w:r w:rsidR="00DD2C63">
        <w:rPr>
          <w:sz w:val="22"/>
        </w:rPr>
        <w:t>as short as possible</w:t>
      </w:r>
      <w:r w:rsidR="006F4A23">
        <w:rPr>
          <w:sz w:val="22"/>
        </w:rPr>
        <w:t xml:space="preserve"> due to mobility, even the transmission timing is not changed.</w:t>
      </w:r>
    </w:p>
    <w:p w14:paraId="5686C8EA" w14:textId="77777777" w:rsidR="006F4A23" w:rsidRDefault="006F4A23" w:rsidP="00D40E6C">
      <w:pPr>
        <w:jc w:val="both"/>
        <w:rPr>
          <w:sz w:val="22"/>
        </w:rPr>
      </w:pPr>
    </w:p>
    <w:p w14:paraId="6730A695" w14:textId="77777777" w:rsidR="006F4A23" w:rsidRDefault="006F4A23" w:rsidP="00D40E6C">
      <w:pPr>
        <w:jc w:val="both"/>
        <w:rPr>
          <w:sz w:val="22"/>
        </w:rPr>
      </w:pPr>
      <w:r>
        <w:rPr>
          <w:sz w:val="22"/>
        </w:rPr>
        <w:t>If UE RX-TX time difference measurement is allowed in the idle state, the UE may still return to the connected state for SRS transmission. The benefit to do so is not clear. Then we prefer not to support UE RX-TX time difference measurement in idle state.</w:t>
      </w:r>
    </w:p>
    <w:p w14:paraId="7A8CDD92" w14:textId="77777777" w:rsidR="006F4A23" w:rsidRDefault="006F4A23" w:rsidP="00D40E6C">
      <w:pPr>
        <w:jc w:val="both"/>
        <w:rPr>
          <w:sz w:val="22"/>
        </w:rPr>
      </w:pPr>
    </w:p>
    <w:p w14:paraId="351C2C5B" w14:textId="15E9EA74" w:rsidR="003164AC" w:rsidRDefault="006F4A23" w:rsidP="0042042A">
      <w:pPr>
        <w:jc w:val="both"/>
        <w:rPr>
          <w:sz w:val="20"/>
          <w:szCs w:val="20"/>
        </w:rPr>
      </w:pPr>
      <w:r w:rsidRPr="00940F7F">
        <w:rPr>
          <w:b/>
          <w:bCs/>
          <w:sz w:val="20"/>
          <w:szCs w:val="20"/>
        </w:rPr>
        <w:t>Proposal 3-1</w:t>
      </w:r>
      <w:r w:rsidRPr="00940F7F">
        <w:rPr>
          <w:sz w:val="20"/>
          <w:szCs w:val="20"/>
        </w:rPr>
        <w:t xml:space="preserve">: </w:t>
      </w:r>
      <w:r w:rsidR="00940F7F">
        <w:rPr>
          <w:sz w:val="20"/>
          <w:szCs w:val="20"/>
        </w:rPr>
        <w:t>D</w:t>
      </w:r>
      <w:r w:rsidRPr="00940F7F">
        <w:rPr>
          <w:sz w:val="20"/>
          <w:szCs w:val="20"/>
        </w:rPr>
        <w:t>on't support UE RX-TX time difference measurement in idle state</w:t>
      </w:r>
    </w:p>
    <w:p w14:paraId="49D41764" w14:textId="3AD9A295" w:rsidR="00940F7F" w:rsidRDefault="00940F7F" w:rsidP="0042042A">
      <w:pPr>
        <w:jc w:val="both"/>
        <w:rPr>
          <w:sz w:val="20"/>
          <w:szCs w:val="20"/>
        </w:rPr>
      </w:pPr>
    </w:p>
    <w:p w14:paraId="1A180ED7" w14:textId="77777777" w:rsidR="00940F7F" w:rsidRPr="00940F7F" w:rsidRDefault="00940F7F" w:rsidP="00940F7F">
      <w:pPr>
        <w:jc w:val="both"/>
        <w:rPr>
          <w:sz w:val="20"/>
          <w:szCs w:val="20"/>
        </w:rPr>
      </w:pPr>
    </w:p>
    <w:p w14:paraId="27FE0242" w14:textId="77777777" w:rsidR="00940F7F" w:rsidRDefault="00940F7F" w:rsidP="00940F7F">
      <w:pPr>
        <w:jc w:val="both"/>
        <w:rPr>
          <w:sz w:val="22"/>
        </w:rPr>
      </w:pPr>
    </w:p>
    <w:p w14:paraId="56A961A3" w14:textId="5F42F57D" w:rsidR="00940F7F" w:rsidRPr="00F23E64" w:rsidRDefault="00940F7F" w:rsidP="00940F7F">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Non-CD SSB as the pathloss RS</w:t>
      </w:r>
    </w:p>
    <w:p w14:paraId="4A3F118F" w14:textId="6965E7F2" w:rsidR="00940F7F" w:rsidRPr="00113E0D" w:rsidRDefault="00F81B0A" w:rsidP="0042042A">
      <w:pPr>
        <w:jc w:val="both"/>
        <w:rPr>
          <w:sz w:val="22"/>
        </w:rPr>
      </w:pPr>
      <w:r w:rsidRPr="00113E0D">
        <w:rPr>
          <w:sz w:val="22"/>
        </w:rPr>
        <w:t>The non-CD SSB could be treated as a beacon SSB to provide the pathloss measurement. It could be useful for the limited space for example in the indoor area.</w:t>
      </w:r>
    </w:p>
    <w:p w14:paraId="058027ED" w14:textId="20886FFD" w:rsidR="00F81B0A" w:rsidRDefault="00F81B0A" w:rsidP="0042042A">
      <w:pPr>
        <w:jc w:val="both"/>
        <w:rPr>
          <w:sz w:val="20"/>
          <w:szCs w:val="20"/>
        </w:rPr>
      </w:pPr>
    </w:p>
    <w:p w14:paraId="2D3CFBED" w14:textId="77875127" w:rsidR="00F81B0A" w:rsidRDefault="00F81B0A" w:rsidP="0042042A">
      <w:pPr>
        <w:jc w:val="both"/>
        <w:rPr>
          <w:sz w:val="20"/>
          <w:szCs w:val="20"/>
        </w:rPr>
      </w:pPr>
      <w:r w:rsidRPr="00F81B0A">
        <w:rPr>
          <w:b/>
          <w:bCs/>
          <w:sz w:val="20"/>
          <w:szCs w:val="20"/>
        </w:rPr>
        <w:t>Proposal 4-1</w:t>
      </w:r>
      <w:r>
        <w:rPr>
          <w:sz w:val="20"/>
          <w:szCs w:val="20"/>
        </w:rPr>
        <w:t>: Support the non-CD SSB as the pathloss RS</w:t>
      </w:r>
    </w:p>
    <w:p w14:paraId="256D2745" w14:textId="28A1C6E6" w:rsidR="00940F7F" w:rsidRDefault="00940F7F" w:rsidP="0042042A">
      <w:pPr>
        <w:jc w:val="both"/>
        <w:rPr>
          <w:sz w:val="20"/>
          <w:szCs w:val="20"/>
        </w:rPr>
      </w:pPr>
    </w:p>
    <w:p w14:paraId="14FC27FE" w14:textId="77777777" w:rsidR="00F81B0A" w:rsidRDefault="00F81B0A" w:rsidP="00F81B0A">
      <w:pPr>
        <w:jc w:val="both"/>
        <w:rPr>
          <w:sz w:val="22"/>
        </w:rPr>
      </w:pPr>
    </w:p>
    <w:p w14:paraId="289701DC" w14:textId="625334B2" w:rsidR="00F81B0A" w:rsidRDefault="00F81B0A" w:rsidP="00F81B0A">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Common alpha/p0 among cells</w:t>
      </w:r>
    </w:p>
    <w:p w14:paraId="2D197BD1" w14:textId="2DD4B882" w:rsidR="00F81B0A" w:rsidRPr="00113E0D" w:rsidRDefault="00F81B0A" w:rsidP="00113E0D">
      <w:pPr>
        <w:jc w:val="both"/>
        <w:rPr>
          <w:sz w:val="22"/>
          <w:lang w:val="en-GB"/>
        </w:rPr>
      </w:pPr>
      <w:r w:rsidRPr="00113E0D">
        <w:rPr>
          <w:sz w:val="22"/>
          <w:lang w:val="en-GB"/>
        </w:rPr>
        <w:t>If the alpha and p0 are the parameters per cell basis, the benefit is the flexibility</w:t>
      </w:r>
      <w:r w:rsidR="00113E0D" w:rsidRPr="00113E0D">
        <w:rPr>
          <w:sz w:val="22"/>
          <w:lang w:val="en-GB"/>
        </w:rPr>
        <w:t>. The UE may need to consume more power to obtain the re-configuration of the parameters during the roaming. By keeping the same values for these parameters we believe that the system can still work, and the main design target is for low power, not for pursuing the configuration flexibility.</w:t>
      </w:r>
    </w:p>
    <w:p w14:paraId="61583461" w14:textId="45DA52C4" w:rsidR="00F81B0A" w:rsidRPr="00113E0D" w:rsidRDefault="00F81B0A" w:rsidP="00113E0D">
      <w:pPr>
        <w:jc w:val="both"/>
        <w:rPr>
          <w:sz w:val="22"/>
        </w:rPr>
      </w:pPr>
    </w:p>
    <w:p w14:paraId="63A607E9" w14:textId="6A538598" w:rsidR="00F81B0A" w:rsidRDefault="005C5EF0" w:rsidP="0042042A">
      <w:pPr>
        <w:jc w:val="both"/>
        <w:rPr>
          <w:sz w:val="20"/>
          <w:szCs w:val="20"/>
        </w:rPr>
      </w:pPr>
      <w:r w:rsidRPr="005C5EF0">
        <w:rPr>
          <w:b/>
          <w:bCs/>
          <w:sz w:val="20"/>
          <w:szCs w:val="20"/>
        </w:rPr>
        <w:t>Proposal 5-1</w:t>
      </w:r>
      <w:r>
        <w:rPr>
          <w:sz w:val="20"/>
          <w:szCs w:val="20"/>
        </w:rPr>
        <w:t>: Support the common alpha/p0 among cells</w:t>
      </w:r>
    </w:p>
    <w:p w14:paraId="5039D503" w14:textId="77777777" w:rsidR="00F81B0A" w:rsidRPr="00940F7F" w:rsidRDefault="00F81B0A" w:rsidP="0042042A">
      <w:pPr>
        <w:jc w:val="both"/>
        <w:rPr>
          <w:sz w:val="20"/>
          <w:szCs w:val="20"/>
        </w:rPr>
      </w:pPr>
    </w:p>
    <w:bookmarkEnd w:id="3"/>
    <w:bookmarkEnd w:id="4"/>
    <w:bookmarkEnd w:id="5"/>
    <w:bookmarkEnd w:id="6"/>
    <w:bookmarkEnd w:id="7"/>
    <w:bookmarkEnd w:id="8"/>
    <w:bookmarkEnd w:id="9"/>
    <w:p w14:paraId="75967EBA" w14:textId="50C51F76" w:rsidR="00554BDB" w:rsidRDefault="00554BDB" w:rsidP="00E3430E">
      <w:pPr>
        <w:jc w:val="both"/>
        <w:rPr>
          <w:sz w:val="22"/>
        </w:rPr>
      </w:pPr>
    </w:p>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6958DE7A" w14:textId="77777777" w:rsidR="00940F7F" w:rsidRPr="00940F7F" w:rsidRDefault="00940F7F" w:rsidP="00940F7F">
      <w:pPr>
        <w:contextualSpacing/>
        <w:jc w:val="both"/>
        <w:rPr>
          <w:rFonts w:cstheme="minorHAnsi"/>
          <w:sz w:val="20"/>
          <w:szCs w:val="20"/>
        </w:rPr>
      </w:pPr>
      <w:r w:rsidRPr="00940F7F">
        <w:rPr>
          <w:rFonts w:cstheme="minorHAnsi"/>
          <w:b/>
          <w:bCs/>
          <w:sz w:val="20"/>
          <w:szCs w:val="20"/>
        </w:rPr>
        <w:t>Proposal 2-1</w:t>
      </w:r>
      <w:r w:rsidRPr="00940F7F">
        <w:rPr>
          <w:rFonts w:cstheme="minorHAnsi"/>
          <w:sz w:val="20"/>
          <w:szCs w:val="20"/>
        </w:rPr>
        <w:t xml:space="preserve">: Support autonomous TA adjustment in intra cell mobility, in addition to the cell reselection </w:t>
      </w:r>
    </w:p>
    <w:p w14:paraId="115BEBAE" w14:textId="77777777" w:rsidR="00940F7F" w:rsidRPr="00940F7F" w:rsidRDefault="00940F7F" w:rsidP="00940F7F">
      <w:pPr>
        <w:contextualSpacing/>
        <w:jc w:val="both"/>
        <w:rPr>
          <w:rFonts w:cstheme="minorHAnsi"/>
          <w:sz w:val="20"/>
          <w:szCs w:val="20"/>
        </w:rPr>
      </w:pPr>
    </w:p>
    <w:p w14:paraId="0E6D2145" w14:textId="77777777" w:rsidR="00940F7F" w:rsidRPr="00940F7F" w:rsidRDefault="00940F7F" w:rsidP="00940F7F">
      <w:pPr>
        <w:contextualSpacing/>
        <w:jc w:val="both"/>
        <w:rPr>
          <w:rFonts w:cstheme="minorHAnsi"/>
          <w:sz w:val="20"/>
          <w:szCs w:val="20"/>
        </w:rPr>
      </w:pPr>
      <w:r w:rsidRPr="00940F7F">
        <w:rPr>
          <w:rFonts w:cstheme="minorHAnsi"/>
          <w:b/>
          <w:bCs/>
          <w:sz w:val="20"/>
          <w:szCs w:val="20"/>
        </w:rPr>
        <w:t>Proposal 2-2</w:t>
      </w:r>
      <w:r w:rsidRPr="00940F7F">
        <w:rPr>
          <w:rFonts w:cstheme="minorHAnsi"/>
          <w:sz w:val="20"/>
          <w:szCs w:val="20"/>
        </w:rPr>
        <w:t>: The RSRP change for TA validation could measure the SSB of the new camping cell for the intra cell mobility condition</w:t>
      </w:r>
    </w:p>
    <w:p w14:paraId="0BA20A3E" w14:textId="77777777" w:rsidR="00940F7F" w:rsidRDefault="00940F7F" w:rsidP="00940F7F">
      <w:pPr>
        <w:jc w:val="both"/>
        <w:rPr>
          <w:sz w:val="22"/>
        </w:rPr>
      </w:pPr>
    </w:p>
    <w:p w14:paraId="2C3F09E7" w14:textId="77777777" w:rsidR="00940F7F" w:rsidRPr="00940F7F" w:rsidRDefault="00940F7F" w:rsidP="00940F7F">
      <w:pPr>
        <w:jc w:val="both"/>
        <w:rPr>
          <w:sz w:val="20"/>
          <w:szCs w:val="20"/>
        </w:rPr>
      </w:pPr>
      <w:r w:rsidRPr="00940F7F">
        <w:rPr>
          <w:b/>
          <w:bCs/>
          <w:sz w:val="20"/>
          <w:szCs w:val="20"/>
        </w:rPr>
        <w:t>Proposal 3-1</w:t>
      </w:r>
      <w:r w:rsidRPr="00940F7F">
        <w:rPr>
          <w:sz w:val="20"/>
          <w:szCs w:val="20"/>
        </w:rPr>
        <w:t xml:space="preserve">: </w:t>
      </w:r>
      <w:r>
        <w:rPr>
          <w:sz w:val="20"/>
          <w:szCs w:val="20"/>
        </w:rPr>
        <w:t>D</w:t>
      </w:r>
      <w:r w:rsidRPr="00940F7F">
        <w:rPr>
          <w:sz w:val="20"/>
          <w:szCs w:val="20"/>
        </w:rPr>
        <w:t>on't support UE RX-TX time difference measurement in idle state</w:t>
      </w:r>
    </w:p>
    <w:p w14:paraId="743E3D12" w14:textId="7F56EBA6" w:rsidR="00235099" w:rsidRDefault="00235099" w:rsidP="00F23E64">
      <w:pPr>
        <w:contextualSpacing/>
        <w:jc w:val="both"/>
        <w:rPr>
          <w:sz w:val="20"/>
          <w:szCs w:val="20"/>
        </w:rPr>
      </w:pPr>
    </w:p>
    <w:p w14:paraId="123C576C" w14:textId="77777777" w:rsidR="00F81B0A" w:rsidRDefault="00F81B0A" w:rsidP="00F81B0A">
      <w:pPr>
        <w:jc w:val="both"/>
        <w:rPr>
          <w:sz w:val="20"/>
          <w:szCs w:val="20"/>
        </w:rPr>
      </w:pPr>
      <w:r w:rsidRPr="00F81B0A">
        <w:rPr>
          <w:b/>
          <w:bCs/>
          <w:sz w:val="20"/>
          <w:szCs w:val="20"/>
        </w:rPr>
        <w:t>Proposal 4-1</w:t>
      </w:r>
      <w:r>
        <w:rPr>
          <w:sz w:val="20"/>
          <w:szCs w:val="20"/>
        </w:rPr>
        <w:t>: Support the non-CD SSB as the pathloss RS</w:t>
      </w:r>
    </w:p>
    <w:p w14:paraId="449B3B3C" w14:textId="20B806C5" w:rsidR="00F81B0A" w:rsidRDefault="00F81B0A" w:rsidP="00F23E64">
      <w:pPr>
        <w:contextualSpacing/>
        <w:jc w:val="both"/>
        <w:rPr>
          <w:sz w:val="20"/>
          <w:szCs w:val="20"/>
        </w:rPr>
      </w:pPr>
    </w:p>
    <w:p w14:paraId="4EE86D7C" w14:textId="7BB10CC0" w:rsidR="005C5EF0" w:rsidRPr="00235099" w:rsidRDefault="005C5EF0" w:rsidP="00F23E64">
      <w:pPr>
        <w:jc w:val="both"/>
        <w:rPr>
          <w:sz w:val="20"/>
          <w:szCs w:val="20"/>
        </w:rPr>
      </w:pPr>
      <w:r w:rsidRPr="005C5EF0">
        <w:rPr>
          <w:b/>
          <w:bCs/>
          <w:sz w:val="20"/>
          <w:szCs w:val="20"/>
        </w:rPr>
        <w:t>Proposal 5-1</w:t>
      </w:r>
      <w:r>
        <w:rPr>
          <w:sz w:val="20"/>
          <w:szCs w:val="20"/>
        </w:rPr>
        <w:t>: Support the common alpha/p0 among cells</w:t>
      </w:r>
    </w:p>
    <w:sectPr w:rsidR="005C5EF0" w:rsidRPr="0023509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4A444" w14:textId="77777777" w:rsidR="001752FD" w:rsidRDefault="001752FD">
      <w:r>
        <w:separator/>
      </w:r>
    </w:p>
  </w:endnote>
  <w:endnote w:type="continuationSeparator" w:id="0">
    <w:p w14:paraId="4879C8C0" w14:textId="77777777" w:rsidR="001752FD" w:rsidRDefault="0017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A151C" w14:textId="77777777" w:rsidR="001752FD" w:rsidRDefault="001752FD">
      <w:r>
        <w:separator/>
      </w:r>
    </w:p>
  </w:footnote>
  <w:footnote w:type="continuationSeparator" w:id="0">
    <w:p w14:paraId="0508C5C9" w14:textId="77777777" w:rsidR="001752FD" w:rsidRDefault="00175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C17B2"/>
    <w:multiLevelType w:val="hybridMultilevel"/>
    <w:tmpl w:val="5B86A0B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2F5407"/>
    <w:multiLevelType w:val="hybridMultilevel"/>
    <w:tmpl w:val="8BA26A0A"/>
    <w:lvl w:ilvl="0" w:tplc="206C139A">
      <w:numFmt w:val="bullet"/>
      <w:lvlText w:val="•"/>
      <w:lvlJc w:val="left"/>
      <w:pPr>
        <w:ind w:left="829" w:hanging="360"/>
      </w:pPr>
      <w:rPr>
        <w:rFonts w:ascii="Arial" w:hAnsi="Arial"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5" w15:restartNumberingAfterBreak="0">
    <w:nsid w:val="123D5440"/>
    <w:multiLevelType w:val="hybridMultilevel"/>
    <w:tmpl w:val="E65AC41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18E83C58"/>
    <w:multiLevelType w:val="hybridMultilevel"/>
    <w:tmpl w:val="8E946DB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D3FF7"/>
    <w:multiLevelType w:val="hybridMultilevel"/>
    <w:tmpl w:val="501A5A9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7" w15:restartNumberingAfterBreak="0">
    <w:nsid w:val="3450273D"/>
    <w:multiLevelType w:val="hybridMultilevel"/>
    <w:tmpl w:val="26A6297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4B0137"/>
    <w:multiLevelType w:val="hybridMultilevel"/>
    <w:tmpl w:val="592A364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F6040"/>
    <w:multiLevelType w:val="hybridMultilevel"/>
    <w:tmpl w:val="F320C38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22333"/>
    <w:multiLevelType w:val="hybridMultilevel"/>
    <w:tmpl w:val="296EBF6E"/>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E35E9B"/>
    <w:multiLevelType w:val="hybridMultilevel"/>
    <w:tmpl w:val="62A615F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9A52AB"/>
    <w:multiLevelType w:val="hybridMultilevel"/>
    <w:tmpl w:val="7D0A516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F74DB"/>
    <w:multiLevelType w:val="hybridMultilevel"/>
    <w:tmpl w:val="75D6165E"/>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6"/>
  </w:num>
  <w:num w:numId="3">
    <w:abstractNumId w:val="19"/>
  </w:num>
  <w:num w:numId="4">
    <w:abstractNumId w:val="6"/>
  </w:num>
  <w:num w:numId="5">
    <w:abstractNumId w:val="31"/>
  </w:num>
  <w:num w:numId="6">
    <w:abstractNumId w:val="48"/>
  </w:num>
  <w:num w:numId="7">
    <w:abstractNumId w:val="8"/>
  </w:num>
  <w:num w:numId="8">
    <w:abstractNumId w:val="29"/>
  </w:num>
  <w:num w:numId="9">
    <w:abstractNumId w:val="43"/>
  </w:num>
  <w:num w:numId="10">
    <w:abstractNumId w:val="39"/>
  </w:num>
  <w:num w:numId="11">
    <w:abstractNumId w:val="18"/>
  </w:num>
  <w:num w:numId="12">
    <w:abstractNumId w:val="18"/>
  </w:num>
  <w:num w:numId="13">
    <w:abstractNumId w:val="11"/>
  </w:num>
  <w:num w:numId="14">
    <w:abstractNumId w:val="44"/>
  </w:num>
  <w:num w:numId="15">
    <w:abstractNumId w:val="27"/>
  </w:num>
  <w:num w:numId="16">
    <w:abstractNumId w:val="10"/>
  </w:num>
  <w:num w:numId="17">
    <w:abstractNumId w:val="0"/>
  </w:num>
  <w:num w:numId="18">
    <w:abstractNumId w:val="13"/>
  </w:num>
  <w:num w:numId="19">
    <w:abstractNumId w:val="9"/>
  </w:num>
  <w:num w:numId="20">
    <w:abstractNumId w:val="28"/>
  </w:num>
  <w:num w:numId="21">
    <w:abstractNumId w:val="30"/>
  </w:num>
  <w:num w:numId="22">
    <w:abstractNumId w:val="20"/>
  </w:num>
  <w:num w:numId="23">
    <w:abstractNumId w:val="1"/>
  </w:num>
  <w:num w:numId="24">
    <w:abstractNumId w:val="21"/>
  </w:num>
  <w:num w:numId="25">
    <w:abstractNumId w:val="25"/>
  </w:num>
  <w:num w:numId="26">
    <w:abstractNumId w:val="26"/>
  </w:num>
  <w:num w:numId="27">
    <w:abstractNumId w:val="32"/>
  </w:num>
  <w:num w:numId="28">
    <w:abstractNumId w:val="12"/>
  </w:num>
  <w:num w:numId="29">
    <w:abstractNumId w:val="16"/>
  </w:num>
  <w:num w:numId="30">
    <w:abstractNumId w:val="14"/>
  </w:num>
  <w:num w:numId="31">
    <w:abstractNumId w:val="17"/>
  </w:num>
  <w:num w:numId="32">
    <w:abstractNumId w:val="40"/>
  </w:num>
  <w:num w:numId="33">
    <w:abstractNumId w:val="15"/>
  </w:num>
  <w:num w:numId="34">
    <w:abstractNumId w:val="45"/>
  </w:num>
  <w:num w:numId="35">
    <w:abstractNumId w:val="22"/>
  </w:num>
  <w:num w:numId="36">
    <w:abstractNumId w:val="42"/>
  </w:num>
  <w:num w:numId="37">
    <w:abstractNumId w:val="33"/>
  </w:num>
  <w:num w:numId="38">
    <w:abstractNumId w:val="2"/>
  </w:num>
  <w:num w:numId="39">
    <w:abstractNumId w:val="41"/>
  </w:num>
  <w:num w:numId="40">
    <w:abstractNumId w:val="38"/>
  </w:num>
  <w:num w:numId="41">
    <w:abstractNumId w:val="35"/>
  </w:num>
  <w:num w:numId="42">
    <w:abstractNumId w:val="7"/>
  </w:num>
  <w:num w:numId="43">
    <w:abstractNumId w:val="5"/>
  </w:num>
  <w:num w:numId="44">
    <w:abstractNumId w:val="37"/>
  </w:num>
  <w:num w:numId="45">
    <w:abstractNumId w:val="23"/>
  </w:num>
  <w:num w:numId="46">
    <w:abstractNumId w:val="4"/>
  </w:num>
  <w:num w:numId="47">
    <w:abstractNumId w:val="24"/>
  </w:num>
  <w:num w:numId="48">
    <w:abstractNumId w:val="47"/>
  </w:num>
  <w:num w:numId="49">
    <w:abstractNumId w:val="46"/>
  </w:num>
  <w:num w:numId="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EE"/>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37DDD"/>
    <w:rsid w:val="0004021F"/>
    <w:rsid w:val="00040353"/>
    <w:rsid w:val="000406A1"/>
    <w:rsid w:val="000406E2"/>
    <w:rsid w:val="0004082D"/>
    <w:rsid w:val="000408A0"/>
    <w:rsid w:val="000409FC"/>
    <w:rsid w:val="00040A84"/>
    <w:rsid w:val="00040B23"/>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12B"/>
    <w:rsid w:val="000734CB"/>
    <w:rsid w:val="00073690"/>
    <w:rsid w:val="000736ED"/>
    <w:rsid w:val="00073CCF"/>
    <w:rsid w:val="00073D69"/>
    <w:rsid w:val="0007405B"/>
    <w:rsid w:val="0007409C"/>
    <w:rsid w:val="000740E8"/>
    <w:rsid w:val="000741E8"/>
    <w:rsid w:val="000741FA"/>
    <w:rsid w:val="0007444E"/>
    <w:rsid w:val="00074589"/>
    <w:rsid w:val="00074625"/>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3E0D"/>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DD"/>
    <w:rsid w:val="001752F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83F"/>
    <w:rsid w:val="00203899"/>
    <w:rsid w:val="002039E4"/>
    <w:rsid w:val="00203A43"/>
    <w:rsid w:val="00203A88"/>
    <w:rsid w:val="00203C7E"/>
    <w:rsid w:val="002040E6"/>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2A2"/>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AB8"/>
    <w:rsid w:val="00284BD1"/>
    <w:rsid w:val="00284EFF"/>
    <w:rsid w:val="0028507E"/>
    <w:rsid w:val="00285156"/>
    <w:rsid w:val="00285346"/>
    <w:rsid w:val="00285510"/>
    <w:rsid w:val="00285554"/>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0DE"/>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A0F"/>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510"/>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BE5"/>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67"/>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30D"/>
    <w:rsid w:val="00416473"/>
    <w:rsid w:val="004164FE"/>
    <w:rsid w:val="00416A54"/>
    <w:rsid w:val="00416F3C"/>
    <w:rsid w:val="004175EA"/>
    <w:rsid w:val="004176BF"/>
    <w:rsid w:val="004176FF"/>
    <w:rsid w:val="00417C57"/>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60"/>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041"/>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43"/>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1B8"/>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EF0"/>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05BB"/>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69A"/>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1B"/>
    <w:rsid w:val="00655925"/>
    <w:rsid w:val="00655BA9"/>
    <w:rsid w:val="00655E1C"/>
    <w:rsid w:val="00655F2F"/>
    <w:rsid w:val="00656103"/>
    <w:rsid w:val="0065613C"/>
    <w:rsid w:val="0065637E"/>
    <w:rsid w:val="0065641F"/>
    <w:rsid w:val="00656701"/>
    <w:rsid w:val="00656839"/>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C7"/>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77E7C"/>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4FA4"/>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8A3"/>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85E"/>
    <w:rsid w:val="006F3AB8"/>
    <w:rsid w:val="006F4135"/>
    <w:rsid w:val="006F431A"/>
    <w:rsid w:val="006F449F"/>
    <w:rsid w:val="006F4810"/>
    <w:rsid w:val="006F4A23"/>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0E"/>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681"/>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BEC"/>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6E11"/>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580"/>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4E7"/>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0F7F"/>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DD6"/>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651"/>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84"/>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46"/>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304"/>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B12"/>
    <w:rsid w:val="00AB5C7D"/>
    <w:rsid w:val="00AB6207"/>
    <w:rsid w:val="00AB636F"/>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4C94"/>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C08"/>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2C2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32"/>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0CE"/>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48"/>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79A"/>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40A"/>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C9D"/>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AEE"/>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40D"/>
    <w:rsid w:val="00CA15E0"/>
    <w:rsid w:val="00CA17C3"/>
    <w:rsid w:val="00CA1A53"/>
    <w:rsid w:val="00CA1ADB"/>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0"/>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C63"/>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B78"/>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05"/>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91E"/>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73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0A"/>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A799F"/>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BEC"/>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A1B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1BE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789</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2023-08-11T17:49:00Z</dcterms:created>
  <dcterms:modified xsi:type="dcterms:W3CDTF">2023-08-11T17:49:00Z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